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昌都市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市场监管局（部门）202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年度部门决算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目  录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第一部分  昌都市市场监督管理局（部门）概况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二、昌都市市场监督管理局部门决算单位构成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第二部分  昌都市市场监督管理局（部门）202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年度部门决算明细表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一、收入决算表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二、支出决算表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三、财政拨款收入支出决算总表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四、一般公共预算财政拨款收入支出决算表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五、 一般公共预算财政拨款基本支出决算表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六、一般公共预算财政拨款“三公”经费支出决算表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sz w:val="32"/>
          <w:szCs w:val="32"/>
          <w:shd w:val="clear" w:fill="FFFFFF"/>
        </w:rPr>
        <w:t>七、 政府性基金预算财政拨款收入支出决算表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第三部分  昌都市市场监督管理局（部门）202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年度部门决算情况说明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第四部分  名词解释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第一部分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负责市场综合监督管理；贯彻执行国家有关市场监督管理的法律法规、政策和政府规章，组织落实质量振兴战略、食品药品（含中药、民族药，下同）安全战略和标准化战略，拟订并组织实施有关规划，组织实施对全市各类市场主体的监督管理，规范和维护市场秩序，营造诚实守信、公平竞争的市场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负责市场主体统一登记注册；指导全市各类企业、农牧民专业合作社和从事经营活动的单位、个体工商户，以及市外企业常驻代表机构等市场主体的登记注册工作；建立市场主体信息公示和共享机制，依法公示和共享有关信息，加强信用监管，推动市场主体信用体系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3、负责指导和监督市场监管综合执法工作；指导全市市场监管综合执法工作，推动实行统一的市场监管；组织查处和督办重大违法案件；规范市场监管行政执法行为。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、负责反垄断统一执法；统筹推进竞争政策实施，指导实施公平竞争审查制度；依法依授权对经营者集中行为进行反垄断审查，负责对垄断协议、滥用市场支配地位和滥用行政权力排除、限制竞争等行为的反垄断执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、负责监督管理市场秩序；依法监督管理市场交易、网络商品交易及有关服务的行为；组织指导查处价格收费违法违规、不正当竞争、违法直销、传销、侵犯商标专利知识产权和制售假冒伪劣行为；指导广告业发展，监督管理广告活动；依法查处无照生产经营和相关无证生产经营行为；指导市消费者协会开展消费维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、负责宏观质量管理；拟订实施质量发展的制度措施；统筹全市质量基础设施协同服务与应用；会同有关部门组织实施重大工程设备质量监理制度，组织重大质量事故调查，贯彻实施缺陷产品召回制度，监督管理产品防伪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7、负责产品质量安全监督管理；负责产品质量风险防控和市级监督抽查工作；组织实施质量分级制度、质量安全追溯制度；负责工业产品生产许可管理；负责纤维质量监督工作。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8、负责特种设备安全监督管理；综合管理特种设备安全监察、监督工作，监督检查高耗能特种设备节能标准和锅炉环境保护标准的执行情况。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9、负责食品、药品、医疗器械和化妆品安全监督管理综合协调；拟订食品药品安全制度措施并组织实施；负责市食品药品安全应急体系建设，承担重大食品药品安全事件应急处置和调查处理工作；建立健全并贯彻执行食品药品安全重要信息直报制度；承担市食品安全委员会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、负责食品、药品、医疗器械和化妆品安全监督管理；监督实施国家食品、药品、医疗器械和化妆品法律法规和规章，拟订监督管理规划；建立全市覆盖食品生产、流通、消费全过程的监督检查制度和隐患排查治理机制并组织实施，建立全市覆盖药品、医疗器械和化妆品流通、消费过程的监督检查制度和隐患排查治理机制并组织实施，防范区域性、系统性食品、药品安全风险；推动建立食品、药品生产经营者落实主体责任的机制，健全食品安全追溯体系；建立问题产品召回和处理制度并监督实施；组织开展食品、药品安全监督抽检、风险监测、检查处置和风险预警、风险交流工作；组织实施特殊食品注册、备案和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11、负责监督实施国家药品、医疗器械和化妆品标准；监督实施地方药材标准和医疗机构制剂标准；组织实施中药品种保护制度和药品分类管理制度相关工作；配合实施基本药物制度。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12、负责药品、医疗器械和化妆品注册、初审和备案管理；组织实施医疗机构制剂注册、初审和备案管理制度，完善审批服务便利化措施。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13、负责药品、医疗器械和化妆品行政许可；负责药品、医疗器械和化妆品零售许可、互联网销售第三方平台备案。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14、负责药品、医疗器械和化妆品质量管理和监督检查；监督实施药品（含医疗机构制剂）、医疗器械研发、经营、使用和化妆品经营质量管理规范，指导查处批发和经营使用环节的违法违规行为；制定并组织实施全市药品、医疗器械和化妆品经营监督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15、负责药品、医疗器械和化妆品上市后风险管理；组织开展药品不良反应、医疗器械不良事件和化妆品不良反应的监测、评价和处置工作；组织制定并监督实施全市药品、医疗器械和化妆品质量抽查检验计划，发布质量公告，组织排查风险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16、负责统一管理计量和标准化工作；推行国家法定计量单位，执行国家计量制度，管理计量器具及量值传递和比对工作；规范、监督商品量和市场计量行为；依法协调指导和监督团体标准、企业标准制定工作。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17、负责统一管理检验检测工作；推进检验检测机构改革，规范检验检测市场，完善检验检测体系，指导协调检验检测行业发展。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18、负责统一管理、监督和综合协调认证工作；组织实施国家统一的认证和合格评定监督管理制度，负责全市检验检测机构资质认定工作。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19、负责知识产权工作；组织实施知识产权战略有关政策，负责保护知识产权、促进知识产权运用、建立知识产权公共服务体系、统筹协调涉外知识产权事宜。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20、负责市场监督管理科技和信息化建设、新闻宣传；按规定承担技术性贸易措施有关工作；负责市场监督管理领域对外交流与合作、教育培训。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21、负责本行业领域安全生产监督管理和应急处置工作。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22、完成市委、市政府交办的其他任务。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二、昌都市市场监督管理局决算单位构成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单位人员构成情况：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昌都市市场监督管理局内设机构：行政科室15个、派出机构1个、所属事业单位5个科室、市场监管综合行政执法队4个科室构成。我单位现有干部职工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110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人（包括公益岗位7名）。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单位资产配备情况：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（1）固定资产：我单位202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年末固定资产余额为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49270572.79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元，包括房屋、车辆。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（2）公务用车：我单位编制22辆车，实有车辆为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0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第二部分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年度决算明细表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(见附件1-7)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第三部分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昌都市市场监督管理局（部门）202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年度决算情况说明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年度一般公共预算收支总体情况说明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1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年财政拨款收支总预算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46637982.56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元，收入为一般公共预算及资金，无政府性基金预算支出，上年结转资金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123200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元，财政拨款收入为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46514782.56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元，本年支出数为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46579782.56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年末结转和结余58200元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年度一般公共预算收入情况说明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8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年度一般公共预算当年财政拨款为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46514782.56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年度一般公共预算支出情况说明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8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年度一般公共决算支出为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46579782.56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年度一般公共预算财政拨款支出情况说明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年度总支出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46579782.56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元(其中:基本支出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34105668.33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元；项目支出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12474114.23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财政拨款支出决算结构情况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31961711.51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68.62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2005956.82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%；对个人和家庭补助支出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138000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%；资本性支出无；项目支出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12474114.23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元，占全年总支出的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26.78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default" w:ascii="楷体_GB2312" w:hAnsi="楷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财政拨款支出决算具体情况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31961711.51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元，其中：基本工资支出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5571477.88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元，津贴补贴支出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13720100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元，奖金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2992583.7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元，社会保障支出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7023478.92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元，其他工资福利支出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2578148.1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2005956.82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元，其中：办公费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208602.15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元，手续费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元，水费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16497.6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元，电费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217027.26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元，邮电费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37578.94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元，印刷费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咨询费15000元，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差旅费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199830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元，公务接待费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8334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劳务费221100元，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工会经费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371000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元，福利费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元，公务用车运行维护费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337434.59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元，其他商品和服务支出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369463.28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3、对个人和家庭补助支出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138000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元，其中：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退休费102000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奖励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其他对个人和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家庭补助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3000元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年度“三公”经费预决算情况说明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昌都市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市场监督管理局（部门）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年“三公”经费情况表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2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单位：元</w:t>
      </w:r>
    </w:p>
    <w:tbl>
      <w:tblPr>
        <w:tblStyle w:val="3"/>
        <w:tblW w:w="8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1417"/>
        <w:gridCol w:w="1549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预算数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决算数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1024800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434540.7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1.因公出国（境）费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3.公务用车经费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964800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426206.7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其中：（1）公务用车运行维护费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964800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426206.7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      （2）公务用车购置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95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1.因公出国(境)情况。我局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年无因公出国(境)情况。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95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2.公务接待费用。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年公务接待费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0.8334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万元，较上年增加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0.3877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万元，增加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86.99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%。主要原因是今年接待人次较上年增加。公务接待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批次、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次。我局严格遵守公务接待管理办法，接待安排先由需接待部门的经办人员向领导请示，由办公室统一安排，报销时必须由经办人员签字，经分管领导审批后，财务室核报。经调查，我局不存在公款大吃大喝及参与高消费娱乐、健身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0"/>
        <w:jc w:val="left"/>
        <w:textAlignment w:val="center"/>
        <w:rPr>
          <w:rFonts w:hint="eastAsia" w:ascii="宋体" w:hAnsi="宋体" w:eastAsia="仿宋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3.公务用车运行维护费用。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年公务用车运行维护费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42.62067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万元，较上年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2.363463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%。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减少原因压缩支出。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4.无公务用车购置费用。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    六、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年度机关运行情况说明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年本部门（含下属单位）履行一般行政事业管理职能、维持机关运行，用一般公用预算安排的行政经费，合计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46579782.56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万元。其中，基本支出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34105668.33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万元，一般行政管理项目支出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12474114.23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（二）机关运行经费预算的内容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行政经费由基本支出和一般行政支出两部分组成；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基本支出，包括两部分；一部分是人员经费，具体包括工资、津贴及奖金、医疗费、住房补贴等；二是公用经费，具体包括办公及印刷费、水电费、邮电费、交通费、差旅费、会议费、福利费、物业管理费、日常维修费、一般购置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    2.一般行政管理项目支出，包括招待费、会议费、购置费（包括设备、计算机等）、专用材料费、干部培训费、信息网络运行维护费等用于一般行政管理事务方面的项目支出。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    七、政府采购情况说明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本部门（单位）政府采购服务的情况如下：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1、食用农产品快检室建设及购买服务经费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购买内容类别：食品药品安全监管辅助服务。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年度预算数：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364.9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万元，年度执行数：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364.0875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2、食用农产品抽检经费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购买内容类别：食品药品安全监管辅助服务。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年度预算数：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万元，年度执行数：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337.45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3120" w:firstLineChars="65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第四部分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8"/>
          <w:szCs w:val="48"/>
          <w:shd w:val="clear" w:fill="FFFFFF"/>
        </w:rPr>
        <w:t>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GVmM2IwZTY0MzRlMjQ1ZGZhMTMwYzVkYzQ3ZTAifQ=="/>
  </w:docVars>
  <w:rsids>
    <w:rsidRoot w:val="00172A27"/>
    <w:rsid w:val="026D23AE"/>
    <w:rsid w:val="04825B69"/>
    <w:rsid w:val="07CD50A7"/>
    <w:rsid w:val="0C4D8FD6"/>
    <w:rsid w:val="124A2DEF"/>
    <w:rsid w:val="12685D6A"/>
    <w:rsid w:val="16E97FB9"/>
    <w:rsid w:val="188C1339"/>
    <w:rsid w:val="1FB54FEF"/>
    <w:rsid w:val="1FC4513B"/>
    <w:rsid w:val="217472DE"/>
    <w:rsid w:val="21E02F8E"/>
    <w:rsid w:val="221C1D56"/>
    <w:rsid w:val="288A1FF6"/>
    <w:rsid w:val="28FE47BF"/>
    <w:rsid w:val="2EE787BA"/>
    <w:rsid w:val="356F11E2"/>
    <w:rsid w:val="35FD9F52"/>
    <w:rsid w:val="3737E000"/>
    <w:rsid w:val="37424C8A"/>
    <w:rsid w:val="399B2628"/>
    <w:rsid w:val="3FEF6F44"/>
    <w:rsid w:val="438E2F46"/>
    <w:rsid w:val="448146C5"/>
    <w:rsid w:val="49623352"/>
    <w:rsid w:val="4A1947CF"/>
    <w:rsid w:val="4AFF57D3"/>
    <w:rsid w:val="4DA44786"/>
    <w:rsid w:val="51FED7AB"/>
    <w:rsid w:val="52117A95"/>
    <w:rsid w:val="55F56185"/>
    <w:rsid w:val="56A821EF"/>
    <w:rsid w:val="5B073D0D"/>
    <w:rsid w:val="5BD462C2"/>
    <w:rsid w:val="5D9F5372"/>
    <w:rsid w:val="5DE71BD0"/>
    <w:rsid w:val="5DF769EC"/>
    <w:rsid w:val="5EFA7CCD"/>
    <w:rsid w:val="5EFD39EE"/>
    <w:rsid w:val="5F7F0E30"/>
    <w:rsid w:val="5FDB9DB7"/>
    <w:rsid w:val="5FEB52B0"/>
    <w:rsid w:val="646A184E"/>
    <w:rsid w:val="676577AF"/>
    <w:rsid w:val="69F64EB2"/>
    <w:rsid w:val="6AB3773D"/>
    <w:rsid w:val="6CA14752"/>
    <w:rsid w:val="6D533EDD"/>
    <w:rsid w:val="6D6FB99C"/>
    <w:rsid w:val="6EFD8D1A"/>
    <w:rsid w:val="6FBB27F8"/>
    <w:rsid w:val="6FF87CC1"/>
    <w:rsid w:val="6FFF2874"/>
    <w:rsid w:val="6FFF438D"/>
    <w:rsid w:val="74BB0C7D"/>
    <w:rsid w:val="757A5BEA"/>
    <w:rsid w:val="757DE146"/>
    <w:rsid w:val="75ED5D32"/>
    <w:rsid w:val="78D21443"/>
    <w:rsid w:val="7B37487A"/>
    <w:rsid w:val="7B505181"/>
    <w:rsid w:val="7BEBB212"/>
    <w:rsid w:val="7CC959FC"/>
    <w:rsid w:val="7D571084"/>
    <w:rsid w:val="7D7689F4"/>
    <w:rsid w:val="7DB530EE"/>
    <w:rsid w:val="7EF32C84"/>
    <w:rsid w:val="7F7D58EC"/>
    <w:rsid w:val="7FA9239C"/>
    <w:rsid w:val="7FBBC0DE"/>
    <w:rsid w:val="7FEEA051"/>
    <w:rsid w:val="9D4B5CFF"/>
    <w:rsid w:val="B2B7EB0E"/>
    <w:rsid w:val="BA7B23C6"/>
    <w:rsid w:val="BD378575"/>
    <w:rsid w:val="BDF78D0B"/>
    <w:rsid w:val="BE6FE6DC"/>
    <w:rsid w:val="BFEE9B4E"/>
    <w:rsid w:val="CDB91347"/>
    <w:rsid w:val="CDE9161A"/>
    <w:rsid w:val="CFFF7263"/>
    <w:rsid w:val="D6FE8ACC"/>
    <w:rsid w:val="DC939782"/>
    <w:rsid w:val="DFEFD79F"/>
    <w:rsid w:val="DFF7E9E8"/>
    <w:rsid w:val="E65544E7"/>
    <w:rsid w:val="E9F71EFB"/>
    <w:rsid w:val="EF7BD611"/>
    <w:rsid w:val="F37EAAEC"/>
    <w:rsid w:val="F473A258"/>
    <w:rsid w:val="F4EF8284"/>
    <w:rsid w:val="F4FB9C65"/>
    <w:rsid w:val="F59FE58F"/>
    <w:rsid w:val="F5B7A78E"/>
    <w:rsid w:val="F63F1092"/>
    <w:rsid w:val="F6BFD369"/>
    <w:rsid w:val="F6D54042"/>
    <w:rsid w:val="F6FFC587"/>
    <w:rsid w:val="F7FC2446"/>
    <w:rsid w:val="F9EFF4C3"/>
    <w:rsid w:val="FB6E079A"/>
    <w:rsid w:val="FB7E255A"/>
    <w:rsid w:val="FBE339A5"/>
    <w:rsid w:val="FDF71E86"/>
    <w:rsid w:val="FE734873"/>
    <w:rsid w:val="FEFEC5FF"/>
    <w:rsid w:val="FF4FD4F8"/>
    <w:rsid w:val="FF9DBAD2"/>
    <w:rsid w:val="FFAC6FAE"/>
    <w:rsid w:val="FFCFC6DF"/>
    <w:rsid w:val="FFDF2776"/>
    <w:rsid w:val="FFFFB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8118</Words>
  <Characters>12482</Characters>
  <Lines>0</Lines>
  <Paragraphs>0</Paragraphs>
  <TotalTime>25</TotalTime>
  <ScaleCrop>false</ScaleCrop>
  <LinksUpToDate>false</LinksUpToDate>
  <CharactersWithSpaces>12961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10923</cp:lastModifiedBy>
  <cp:lastPrinted>2022-09-29T12:37:00Z</cp:lastPrinted>
  <dcterms:modified xsi:type="dcterms:W3CDTF">2023-09-22T07:40:40Z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F572D648C73C4C30B0B9312BAE484A0A</vt:lpwstr>
  </property>
</Properties>
</file>